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8C" w:rsidRPr="00F7055F" w:rsidRDefault="001F228C" w:rsidP="00F7055F">
      <w:pPr>
        <w:tabs>
          <w:tab w:val="center" w:pos="4320"/>
          <w:tab w:val="right" w:pos="8640"/>
        </w:tabs>
        <w:autoSpaceDE w:val="0"/>
        <w:autoSpaceDN w:val="0"/>
        <w:spacing w:after="0" w:line="240" w:lineRule="auto"/>
        <w:jc w:val="center"/>
        <w:rPr>
          <w:rFonts w:ascii="Times New Roman" w:eastAsia="Times New Roman" w:hAnsi="Times New Roman" w:cs="Times New Roman"/>
          <w:b/>
          <w:bCs/>
          <w:sz w:val="24"/>
          <w:szCs w:val="24"/>
          <w:lang w:eastAsia="x-none"/>
        </w:rPr>
      </w:pPr>
      <w:bookmarkStart w:id="0" w:name="_Hlk483721040"/>
      <w:bookmarkEnd w:id="0"/>
      <w:r w:rsidRPr="00F7055F">
        <w:rPr>
          <w:rFonts w:ascii="Times New Roman" w:eastAsia="Times New Roman" w:hAnsi="Times New Roman" w:cs="Times New Roman"/>
          <w:b/>
          <w:noProof/>
          <w:sz w:val="24"/>
          <w:szCs w:val="24"/>
        </w:rPr>
        <w:drawing>
          <wp:inline distT="0" distB="0" distL="0" distR="0" wp14:anchorId="5A562D34" wp14:editId="37111705">
            <wp:extent cx="2522220" cy="80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2220" cy="807720"/>
                    </a:xfrm>
                    <a:prstGeom prst="rect">
                      <a:avLst/>
                    </a:prstGeom>
                    <a:noFill/>
                    <a:ln>
                      <a:noFill/>
                    </a:ln>
                  </pic:spPr>
                </pic:pic>
              </a:graphicData>
            </a:graphic>
          </wp:inline>
        </w:drawing>
      </w:r>
    </w:p>
    <w:p w:rsidR="001F228C" w:rsidRPr="00F7055F" w:rsidRDefault="001F228C" w:rsidP="00F7055F">
      <w:pPr>
        <w:tabs>
          <w:tab w:val="center" w:pos="4320"/>
          <w:tab w:val="right" w:pos="8640"/>
        </w:tabs>
        <w:autoSpaceDE w:val="0"/>
        <w:autoSpaceDN w:val="0"/>
        <w:spacing w:after="0" w:line="240" w:lineRule="auto"/>
        <w:jc w:val="center"/>
        <w:rPr>
          <w:rFonts w:ascii="Times New Roman" w:eastAsia="Times New Roman" w:hAnsi="Times New Roman" w:cs="Times New Roman"/>
          <w:b/>
          <w:bCs/>
          <w:sz w:val="24"/>
          <w:szCs w:val="24"/>
          <w:lang w:val="x-none" w:eastAsia="x-none"/>
        </w:rPr>
      </w:pPr>
      <w:r w:rsidRPr="00F7055F">
        <w:rPr>
          <w:rFonts w:ascii="Times New Roman" w:eastAsia="Times New Roman" w:hAnsi="Times New Roman" w:cs="Times New Roman"/>
          <w:b/>
          <w:bCs/>
          <w:sz w:val="24"/>
          <w:szCs w:val="24"/>
          <w:lang w:val="x-none" w:eastAsia="x-none"/>
        </w:rPr>
        <w:t>NORTHCENTRAL UNIVERSITY</w:t>
      </w:r>
    </w:p>
    <w:p w:rsidR="001F228C" w:rsidRPr="00F7055F" w:rsidRDefault="001F228C" w:rsidP="00F7055F">
      <w:pPr>
        <w:tabs>
          <w:tab w:val="center" w:pos="4320"/>
          <w:tab w:val="right" w:pos="8640"/>
        </w:tabs>
        <w:autoSpaceDE w:val="0"/>
        <w:autoSpaceDN w:val="0"/>
        <w:spacing w:after="0" w:line="240" w:lineRule="auto"/>
        <w:jc w:val="center"/>
        <w:rPr>
          <w:rFonts w:ascii="Times New Roman" w:eastAsia="Times New Roman" w:hAnsi="Times New Roman" w:cs="Times New Roman"/>
          <w:sz w:val="24"/>
          <w:szCs w:val="24"/>
          <w:lang w:val="x-none" w:eastAsia="x-none"/>
        </w:rPr>
      </w:pPr>
      <w:r w:rsidRPr="00F7055F">
        <w:rPr>
          <w:rFonts w:ascii="Times New Roman" w:eastAsia="Times New Roman" w:hAnsi="Times New Roman" w:cs="Times New Roman"/>
          <w:b/>
          <w:bCs/>
          <w:sz w:val="24"/>
          <w:szCs w:val="24"/>
          <w:lang w:val="x-none" w:eastAsia="x-none"/>
        </w:rPr>
        <w:t>ASSIGNMENT COVER SHEET</w:t>
      </w:r>
    </w:p>
    <w:p w:rsidR="001F228C" w:rsidRPr="00F7055F" w:rsidRDefault="001F228C" w:rsidP="00F7055F">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r w:rsidRPr="00F7055F">
        <w:rPr>
          <w:rFonts w:ascii="Times New Roman" w:eastAsia="Times New Roman" w:hAnsi="Times New Roman" w:cs="Times New Roman"/>
          <w:kern w:val="32"/>
          <w:sz w:val="24"/>
          <w:szCs w:val="24"/>
          <w:lang w:val="x-none" w:eastAsia="x-none"/>
        </w:rPr>
        <w:t xml:space="preserve">Student:  </w:t>
      </w:r>
      <w:r w:rsidRPr="00F7055F">
        <w:rPr>
          <w:rFonts w:ascii="Times New Roman" w:eastAsia="Times New Roman" w:hAnsi="Times New Roman" w:cs="Times New Roman"/>
          <w:b/>
          <w:bCs/>
          <w:kern w:val="32"/>
          <w:sz w:val="24"/>
          <w:szCs w:val="24"/>
          <w:lang w:eastAsia="x-none"/>
        </w:rPr>
        <w:t>Cindy Carbaugh</w:t>
      </w:r>
    </w:p>
    <w:p w:rsidR="001F228C" w:rsidRPr="00F7055F" w:rsidRDefault="001F228C" w:rsidP="00F7055F">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p>
    <w:p w:rsidR="001F228C" w:rsidRPr="00F7055F" w:rsidRDefault="001F228C" w:rsidP="00F7055F">
      <w:pPr>
        <w:keepNext/>
        <w:autoSpaceDE w:val="0"/>
        <w:autoSpaceDN w:val="0"/>
        <w:spacing w:after="0" w:line="240" w:lineRule="auto"/>
        <w:jc w:val="center"/>
        <w:outlineLvl w:val="0"/>
        <w:rPr>
          <w:rFonts w:ascii="Times New Roman" w:eastAsia="Times New Roman" w:hAnsi="Times New Roman" w:cs="Times New Roman"/>
          <w:b/>
          <w:bCs/>
          <w:noProof/>
          <w:kern w:val="32"/>
          <w:sz w:val="24"/>
          <w:szCs w:val="24"/>
          <w:lang w:val="x-none" w:eastAsia="x-none"/>
        </w:rPr>
      </w:pPr>
      <w:r w:rsidRPr="00F7055F">
        <w:rPr>
          <w:rFonts w:ascii="Times New Roman" w:eastAsia="Times New Roman" w:hAnsi="Times New Roman" w:cs="Times New Roman"/>
          <w:b/>
          <w:bCs/>
          <w:noProof/>
          <w:kern w:val="32"/>
          <w:sz w:val="24"/>
          <w:szCs w:val="24"/>
          <w:lang w:val="x-none" w:eastAsia="x-none"/>
        </w:rPr>
        <w:t>THIS FORM MUST BE COMPLETELY FILLED IN</w:t>
      </w:r>
    </w:p>
    <w:p w:rsidR="001F228C" w:rsidRPr="00F7055F" w:rsidRDefault="001F228C" w:rsidP="00F7055F">
      <w:pPr>
        <w:spacing w:after="0"/>
        <w:jc w:val="center"/>
        <w:rPr>
          <w:rFonts w:ascii="Times New Roman" w:eastAsia="Calibri" w:hAnsi="Times New Roman" w:cs="Times New Roman"/>
          <w:noProof/>
          <w:sz w:val="24"/>
          <w:szCs w:val="24"/>
        </w:rPr>
      </w:pPr>
      <w:r w:rsidRPr="00F7055F">
        <w:rPr>
          <w:rFonts w:ascii="Times New Roman" w:eastAsia="Calibri" w:hAnsi="Times New Roman" w:cs="Times New Roman"/>
          <w:b/>
          <w:bCs/>
          <w:noProof/>
          <w:sz w:val="24"/>
          <w:szCs w:val="24"/>
        </w:rPr>
        <w:t xml:space="preserve">Follow these procedures:  </w:t>
      </w:r>
      <w:r w:rsidRPr="00F7055F">
        <w:rPr>
          <w:rFonts w:ascii="Times New Roman" w:eastAsia="Calibri" w:hAnsi="Times New Roman" w:cs="Times New Roman"/>
          <w:noProof/>
          <w:sz w:val="24"/>
          <w:szCs w:val="24"/>
        </w:rPr>
        <w:t>If requested by your instructor, please include an assignment cover sheet. This will become the first page of your assignment. In addition, your assignment header should include your last name, first initial, course code, dash, and assignment number. This should be left justified, with the page number right justified. For example: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tblGrid>
      <w:tr w:rsidR="001F228C" w:rsidRPr="00F7055F" w:rsidTr="00233CB1">
        <w:tc>
          <w:tcPr>
            <w:tcW w:w="6570" w:type="dxa"/>
            <w:shd w:val="clear" w:color="auto" w:fill="auto"/>
          </w:tcPr>
          <w:p w:rsidR="001F228C" w:rsidRPr="00F7055F" w:rsidRDefault="001F228C" w:rsidP="00F7055F">
            <w:pPr>
              <w:spacing w:after="0"/>
              <w:jc w:val="center"/>
              <w:rPr>
                <w:rFonts w:ascii="Times New Roman" w:eastAsia="Calibri" w:hAnsi="Times New Roman" w:cs="Times New Roman"/>
                <w:noProof/>
                <w:sz w:val="24"/>
                <w:szCs w:val="24"/>
              </w:rPr>
            </w:pPr>
            <w:r w:rsidRPr="00F7055F">
              <w:rPr>
                <w:rFonts w:ascii="Times New Roman" w:eastAsia="Calibri" w:hAnsi="Times New Roman" w:cs="Times New Roman"/>
                <w:noProof/>
                <w:sz w:val="24"/>
                <w:szCs w:val="24"/>
              </w:rPr>
              <w:t>DoeJXXX0000-1                                                                          1</w:t>
            </w:r>
          </w:p>
        </w:tc>
      </w:tr>
    </w:tbl>
    <w:p w:rsidR="001F228C" w:rsidRPr="00F7055F" w:rsidRDefault="001F228C" w:rsidP="00F7055F">
      <w:pPr>
        <w:spacing w:after="0"/>
        <w:jc w:val="center"/>
        <w:rPr>
          <w:rFonts w:ascii="Times New Roman" w:eastAsia="Calibri" w:hAnsi="Times New Roman" w:cs="Times New Roman"/>
          <w:b/>
          <w:bCs/>
          <w:noProof/>
          <w:sz w:val="24"/>
          <w:szCs w:val="24"/>
        </w:rPr>
      </w:pPr>
    </w:p>
    <w:p w:rsidR="001F228C" w:rsidRPr="00F7055F" w:rsidRDefault="001F228C" w:rsidP="00F7055F">
      <w:pPr>
        <w:spacing w:after="0"/>
        <w:jc w:val="center"/>
        <w:rPr>
          <w:rFonts w:ascii="Times New Roman" w:eastAsia="Calibri" w:hAnsi="Times New Roman" w:cs="Times New Roman"/>
          <w:noProof/>
          <w:sz w:val="24"/>
          <w:szCs w:val="24"/>
        </w:rPr>
      </w:pPr>
      <w:r w:rsidRPr="00F7055F">
        <w:rPr>
          <w:rFonts w:ascii="Times New Roman" w:eastAsia="Calibri" w:hAnsi="Times New Roman" w:cs="Times New Roman"/>
          <w:b/>
          <w:bCs/>
          <w:noProof/>
          <w:sz w:val="24"/>
          <w:szCs w:val="24"/>
        </w:rPr>
        <w:t xml:space="preserve">Save a copy of your assignments: </w:t>
      </w:r>
      <w:r w:rsidRPr="00F7055F">
        <w:rPr>
          <w:rFonts w:ascii="Times New Roman" w:eastAsia="Calibri" w:hAnsi="Times New Roman" w:cs="Times New Roman"/>
          <w:noProof/>
          <w:sz w:val="24"/>
          <w:szCs w:val="24"/>
        </w:rPr>
        <w:t>You may need to re-submit an assignment at your instructor’s request. Make sure you save your files in accessible location.</w:t>
      </w:r>
    </w:p>
    <w:p w:rsidR="001F228C" w:rsidRPr="00F7055F" w:rsidRDefault="001F228C" w:rsidP="00F7055F">
      <w:pPr>
        <w:spacing w:after="0"/>
        <w:jc w:val="center"/>
        <w:rPr>
          <w:rFonts w:ascii="Times New Roman" w:eastAsia="Calibri" w:hAnsi="Times New Roman" w:cs="Times New Roman"/>
          <w:sz w:val="24"/>
          <w:szCs w:val="24"/>
        </w:rPr>
      </w:pPr>
      <w:r w:rsidRPr="00F7055F">
        <w:rPr>
          <w:rFonts w:ascii="Times New Roman" w:eastAsia="Calibri" w:hAnsi="Times New Roman" w:cs="Times New Roman"/>
          <w:b/>
          <w:bCs/>
          <w:noProof/>
          <w:sz w:val="24"/>
          <w:szCs w:val="24"/>
        </w:rPr>
        <w:t xml:space="preserve">Academic integrity: </w:t>
      </w:r>
      <w:r w:rsidRPr="00F7055F">
        <w:rPr>
          <w:rFonts w:ascii="Times New Roman" w:eastAsia="Calibri" w:hAnsi="Times New Roman" w:cs="Times New Roman"/>
          <w:noProof/>
          <w:sz w:val="24"/>
          <w:szCs w:val="24"/>
        </w:rPr>
        <w:t>All work submitted in each course must be your own original work. This includes all assignments, exams, term papers, and other projects required by your instructor. Knowingly submitting another person’s work as your own, without properly citing the source of the work, is considered plagiarism. This will result in an unsatisfactory grade for the work submitted or for the entire course. It may also result in academic dismissal from the University.</w:t>
      </w:r>
    </w:p>
    <w:tbl>
      <w:tblPr>
        <w:tblW w:w="0" w:type="auto"/>
        <w:tblLayout w:type="fixed"/>
        <w:tblLook w:val="0000" w:firstRow="0" w:lastRow="0" w:firstColumn="0" w:lastColumn="0" w:noHBand="0" w:noVBand="0"/>
      </w:tblPr>
      <w:tblGrid>
        <w:gridCol w:w="4428"/>
        <w:gridCol w:w="4428"/>
      </w:tblGrid>
      <w:tr w:rsidR="001F228C" w:rsidRPr="00F7055F" w:rsidTr="00233CB1">
        <w:tc>
          <w:tcPr>
            <w:tcW w:w="4428" w:type="dxa"/>
            <w:tcBorders>
              <w:top w:val="nil"/>
              <w:left w:val="nil"/>
              <w:bottom w:val="nil"/>
              <w:right w:val="nil"/>
            </w:tcBorders>
          </w:tcPr>
          <w:p w:rsidR="001F228C" w:rsidRPr="00F7055F" w:rsidRDefault="001F228C" w:rsidP="001F228C">
            <w:pPr>
              <w:spacing w:after="0" w:line="480" w:lineRule="auto"/>
              <w:rPr>
                <w:rFonts w:ascii="Times New Roman" w:eastAsia="Calibri" w:hAnsi="Times New Roman" w:cs="Times New Roman"/>
                <w:sz w:val="24"/>
                <w:szCs w:val="24"/>
              </w:rPr>
            </w:pPr>
            <w:r w:rsidRPr="00F7055F">
              <w:rPr>
                <w:rFonts w:ascii="Times New Roman" w:eastAsia="Calibri" w:hAnsi="Times New Roman" w:cs="Times New Roman"/>
                <w:sz w:val="24"/>
                <w:szCs w:val="24"/>
              </w:rPr>
              <w:t>BTM7106-</w:t>
            </w:r>
            <w:r w:rsidR="00F7055F" w:rsidRPr="00F7055F">
              <w:rPr>
                <w:rFonts w:ascii="Times New Roman" w:eastAsia="Calibri" w:hAnsi="Times New Roman" w:cs="Times New Roman"/>
                <w:sz w:val="24"/>
                <w:szCs w:val="24"/>
              </w:rPr>
              <w:t>6</w:t>
            </w:r>
          </w:p>
          <w:p w:rsidR="001F228C" w:rsidRPr="00F7055F" w:rsidRDefault="001F228C" w:rsidP="001F228C">
            <w:pPr>
              <w:spacing w:after="0"/>
              <w:rPr>
                <w:rFonts w:ascii="Times New Roman" w:eastAsia="Calibri" w:hAnsi="Times New Roman" w:cs="Times New Roman"/>
                <w:sz w:val="24"/>
                <w:szCs w:val="24"/>
              </w:rPr>
            </w:pPr>
          </w:p>
        </w:tc>
        <w:tc>
          <w:tcPr>
            <w:tcW w:w="4428" w:type="dxa"/>
            <w:tcBorders>
              <w:top w:val="nil"/>
              <w:left w:val="nil"/>
              <w:bottom w:val="nil"/>
              <w:right w:val="nil"/>
            </w:tcBorders>
          </w:tcPr>
          <w:p w:rsidR="001F228C" w:rsidRPr="00F7055F" w:rsidRDefault="001F228C" w:rsidP="001F228C">
            <w:pPr>
              <w:spacing w:after="0" w:line="240" w:lineRule="auto"/>
              <w:rPr>
                <w:rFonts w:ascii="Times New Roman" w:eastAsia="Calibri" w:hAnsi="Times New Roman" w:cs="Times New Roman"/>
                <w:sz w:val="24"/>
                <w:szCs w:val="24"/>
              </w:rPr>
            </w:pPr>
            <w:r w:rsidRPr="00F7055F">
              <w:rPr>
                <w:rFonts w:ascii="Times New Roman" w:eastAsia="Calibri" w:hAnsi="Times New Roman" w:cs="Times New Roman"/>
                <w:sz w:val="24"/>
                <w:szCs w:val="24"/>
              </w:rPr>
              <w:t>Dr. Mary Dereshiwsky</w:t>
            </w:r>
          </w:p>
          <w:p w:rsidR="001F228C" w:rsidRPr="00F7055F" w:rsidRDefault="001F228C" w:rsidP="001F228C">
            <w:pPr>
              <w:spacing w:after="0" w:line="240" w:lineRule="auto"/>
              <w:rPr>
                <w:rFonts w:ascii="Times New Roman" w:eastAsia="Calibri" w:hAnsi="Times New Roman" w:cs="Times New Roman"/>
                <w:b/>
                <w:bCs/>
                <w:sz w:val="24"/>
                <w:szCs w:val="24"/>
              </w:rPr>
            </w:pPr>
          </w:p>
        </w:tc>
      </w:tr>
      <w:tr w:rsidR="001F228C" w:rsidRPr="00F7055F" w:rsidTr="00233CB1">
        <w:tc>
          <w:tcPr>
            <w:tcW w:w="4428" w:type="dxa"/>
            <w:tcBorders>
              <w:top w:val="nil"/>
              <w:left w:val="nil"/>
              <w:bottom w:val="nil"/>
              <w:right w:val="nil"/>
            </w:tcBorders>
          </w:tcPr>
          <w:p w:rsidR="001F228C" w:rsidRPr="00F7055F" w:rsidRDefault="00F7055F" w:rsidP="001F228C">
            <w:pPr>
              <w:spacing w:after="0"/>
              <w:rPr>
                <w:rFonts w:ascii="Times New Roman" w:eastAsia="Calibri" w:hAnsi="Times New Roman" w:cs="Times New Roman"/>
                <w:bCs/>
                <w:sz w:val="24"/>
                <w:szCs w:val="24"/>
              </w:rPr>
            </w:pPr>
            <w:r w:rsidRPr="00F7055F">
              <w:rPr>
                <w:rFonts w:ascii="Times New Roman" w:hAnsi="Times New Roman" w:cs="Times New Roman"/>
                <w:sz w:val="24"/>
                <w:szCs w:val="24"/>
              </w:rPr>
              <w:t>Contributing to Theory</w:t>
            </w:r>
            <w:r w:rsidR="001F228C" w:rsidRPr="00F7055F">
              <w:rPr>
                <w:rFonts w:ascii="Times New Roman" w:hAnsi="Times New Roman" w:cs="Times New Roman"/>
                <w:sz w:val="24"/>
                <w:szCs w:val="24"/>
              </w:rPr>
              <w:t xml:space="preserve"> </w:t>
            </w:r>
            <w:r w:rsidR="001F228C" w:rsidRPr="00F7055F">
              <w:rPr>
                <w:rFonts w:ascii="Times New Roman" w:eastAsia="Calibri" w:hAnsi="Times New Roman" w:cs="Times New Roman"/>
                <w:bCs/>
                <w:sz w:val="24"/>
                <w:szCs w:val="24"/>
              </w:rPr>
              <w:t xml:space="preserve"> </w:t>
            </w:r>
          </w:p>
        </w:tc>
        <w:tc>
          <w:tcPr>
            <w:tcW w:w="4428" w:type="dxa"/>
            <w:tcBorders>
              <w:top w:val="nil"/>
              <w:left w:val="nil"/>
              <w:bottom w:val="nil"/>
              <w:right w:val="nil"/>
            </w:tcBorders>
          </w:tcPr>
          <w:p w:rsidR="001F228C" w:rsidRPr="00F7055F" w:rsidRDefault="001F228C" w:rsidP="001F228C">
            <w:pPr>
              <w:spacing w:after="0"/>
              <w:rPr>
                <w:rFonts w:ascii="Times New Roman" w:eastAsia="Calibri" w:hAnsi="Times New Roman" w:cs="Times New Roman"/>
                <w:b/>
                <w:bCs/>
                <w:sz w:val="24"/>
                <w:szCs w:val="24"/>
              </w:rPr>
            </w:pPr>
            <w:r w:rsidRPr="00F7055F">
              <w:rPr>
                <w:rFonts w:ascii="Times New Roman" w:eastAsia="Calibri" w:hAnsi="Times New Roman" w:cs="Times New Roman"/>
                <w:b/>
                <w:bCs/>
                <w:sz w:val="24"/>
                <w:szCs w:val="24"/>
              </w:rPr>
              <w:t xml:space="preserve">Week </w:t>
            </w:r>
            <w:r w:rsidR="00F7055F" w:rsidRPr="00F7055F">
              <w:rPr>
                <w:rFonts w:ascii="Times New Roman" w:eastAsia="Calibri" w:hAnsi="Times New Roman" w:cs="Times New Roman"/>
                <w:b/>
                <w:bCs/>
                <w:sz w:val="24"/>
                <w:szCs w:val="24"/>
              </w:rPr>
              <w:t>6</w:t>
            </w:r>
          </w:p>
        </w:tc>
      </w:tr>
    </w:tbl>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pBdr>
          <w:top w:val="single" w:sz="6" w:space="1" w:color="auto"/>
          <w:left w:val="single" w:sz="6" w:space="4" w:color="auto"/>
          <w:bottom w:val="single" w:sz="6" w:space="1" w:color="auto"/>
          <w:right w:val="single" w:sz="6" w:space="4" w:color="auto"/>
        </w:pBdr>
        <w:shd w:val="clear" w:color="auto" w:fill="FFFF99"/>
        <w:spacing w:after="0" w:line="360" w:lineRule="auto"/>
        <w:rPr>
          <w:rFonts w:ascii="Times New Roman" w:eastAsia="Calibri" w:hAnsi="Times New Roman" w:cs="Times New Roman"/>
          <w:bCs/>
          <w:sz w:val="24"/>
          <w:szCs w:val="24"/>
        </w:rPr>
      </w:pPr>
    </w:p>
    <w:p w:rsidR="001F228C" w:rsidRPr="00F7055F" w:rsidRDefault="001F228C" w:rsidP="001F228C">
      <w:pPr>
        <w:spacing w:after="0" w:line="480" w:lineRule="auto"/>
        <w:ind w:firstLine="720"/>
        <w:rPr>
          <w:rFonts w:ascii="Times New Roman" w:hAnsi="Times New Roman" w:cs="Times New Roman"/>
          <w:sz w:val="24"/>
          <w:szCs w:val="24"/>
        </w:rPr>
      </w:pPr>
    </w:p>
    <w:p w:rsidR="001F228C" w:rsidRPr="00F7055F" w:rsidRDefault="001F228C" w:rsidP="001F228C">
      <w:pPr>
        <w:spacing w:after="0" w:line="240" w:lineRule="auto"/>
        <w:rPr>
          <w:rFonts w:ascii="Times New Roman" w:hAnsi="Times New Roman" w:cs="Times New Roman"/>
          <w:sz w:val="24"/>
          <w:szCs w:val="24"/>
        </w:rPr>
      </w:pPr>
    </w:p>
    <w:p w:rsidR="001F228C" w:rsidRPr="00F7055F" w:rsidRDefault="001F228C" w:rsidP="001F228C">
      <w:pPr>
        <w:spacing w:after="0" w:line="240" w:lineRule="auto"/>
        <w:rPr>
          <w:rFonts w:ascii="Times New Roman" w:hAnsi="Times New Roman" w:cs="Times New Roman"/>
          <w:sz w:val="24"/>
          <w:szCs w:val="24"/>
        </w:rPr>
      </w:pPr>
    </w:p>
    <w:p w:rsidR="001F228C" w:rsidRPr="00F7055F" w:rsidRDefault="001F228C" w:rsidP="001F228C">
      <w:pPr>
        <w:spacing w:after="0" w:line="24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24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1F228C" w:rsidP="001F228C">
      <w:pPr>
        <w:spacing w:after="0" w:line="480" w:lineRule="auto"/>
        <w:rPr>
          <w:rFonts w:ascii="Times New Roman" w:hAnsi="Times New Roman" w:cs="Times New Roman"/>
          <w:sz w:val="24"/>
          <w:szCs w:val="24"/>
        </w:rPr>
      </w:pPr>
    </w:p>
    <w:p w:rsidR="001F228C" w:rsidRPr="00F7055F" w:rsidRDefault="00F7055F" w:rsidP="00F7055F">
      <w:pPr>
        <w:spacing w:after="0" w:line="480" w:lineRule="auto"/>
        <w:jc w:val="center"/>
        <w:rPr>
          <w:rFonts w:ascii="Times New Roman" w:hAnsi="Times New Roman" w:cs="Times New Roman"/>
          <w:sz w:val="24"/>
          <w:szCs w:val="24"/>
        </w:rPr>
      </w:pPr>
      <w:r w:rsidRPr="00F7055F">
        <w:rPr>
          <w:rFonts w:ascii="Times New Roman" w:hAnsi="Times New Roman" w:cs="Times New Roman"/>
          <w:sz w:val="24"/>
          <w:szCs w:val="24"/>
        </w:rPr>
        <w:t>Contributing to Theory</w:t>
      </w:r>
    </w:p>
    <w:p w:rsidR="001F228C" w:rsidRPr="00F7055F" w:rsidRDefault="001F228C" w:rsidP="00F7055F">
      <w:pPr>
        <w:spacing w:after="0" w:line="480" w:lineRule="auto"/>
        <w:jc w:val="center"/>
        <w:rPr>
          <w:rFonts w:ascii="Times New Roman" w:eastAsia="Calibri" w:hAnsi="Times New Roman" w:cs="Times New Roman"/>
          <w:sz w:val="24"/>
          <w:szCs w:val="24"/>
        </w:rPr>
      </w:pPr>
      <w:r w:rsidRPr="00F7055F">
        <w:rPr>
          <w:rFonts w:ascii="Times New Roman" w:eastAsia="Calibri" w:hAnsi="Times New Roman" w:cs="Times New Roman"/>
          <w:sz w:val="24"/>
          <w:szCs w:val="24"/>
        </w:rPr>
        <w:t>Cindy Carbaugh</w:t>
      </w:r>
    </w:p>
    <w:p w:rsidR="001F228C" w:rsidRPr="00F7055F" w:rsidRDefault="00F7055F" w:rsidP="00F7055F">
      <w:pPr>
        <w:spacing w:after="0" w:line="480" w:lineRule="auto"/>
        <w:jc w:val="center"/>
        <w:rPr>
          <w:rFonts w:ascii="Times New Roman" w:eastAsia="Calibri" w:hAnsi="Times New Roman" w:cs="Times New Roman"/>
          <w:sz w:val="24"/>
          <w:szCs w:val="24"/>
        </w:rPr>
      </w:pPr>
      <w:r w:rsidRPr="00F7055F">
        <w:rPr>
          <w:rFonts w:ascii="Times New Roman" w:eastAsia="Calibri" w:hAnsi="Times New Roman" w:cs="Times New Roman"/>
          <w:sz w:val="24"/>
          <w:szCs w:val="24"/>
        </w:rPr>
        <w:t>BTM-7016-6</w:t>
      </w:r>
    </w:p>
    <w:p w:rsidR="001F228C" w:rsidRPr="00F7055F" w:rsidRDefault="001F228C" w:rsidP="00F7055F">
      <w:pPr>
        <w:spacing w:after="0" w:line="480" w:lineRule="auto"/>
        <w:jc w:val="center"/>
        <w:rPr>
          <w:rFonts w:ascii="Times New Roman" w:eastAsia="Calibri" w:hAnsi="Times New Roman" w:cs="Times New Roman"/>
          <w:sz w:val="24"/>
          <w:szCs w:val="24"/>
        </w:rPr>
      </w:pPr>
      <w:r w:rsidRPr="00F7055F">
        <w:rPr>
          <w:rFonts w:ascii="Times New Roman" w:eastAsia="Calibri" w:hAnsi="Times New Roman" w:cs="Times New Roman"/>
          <w:sz w:val="24"/>
          <w:szCs w:val="24"/>
        </w:rPr>
        <w:t>Dr. Mary Dereshiwsky</w:t>
      </w:r>
    </w:p>
    <w:p w:rsidR="001F228C" w:rsidRPr="00F7055F" w:rsidRDefault="001F228C" w:rsidP="001F228C">
      <w:pPr>
        <w:pStyle w:val="NormalWeb"/>
        <w:shd w:val="clear" w:color="auto" w:fill="FFFFFF"/>
        <w:spacing w:after="0" w:line="480" w:lineRule="auto"/>
        <w:rPr>
          <w:rFonts w:eastAsia="Times New Roman"/>
          <w:b/>
          <w:bCs/>
          <w:color w:val="353535"/>
          <w:bdr w:val="none" w:sz="0" w:space="0" w:color="auto" w:frame="1"/>
        </w:rPr>
      </w:pPr>
    </w:p>
    <w:p w:rsidR="00F66138" w:rsidRPr="00F7055F" w:rsidRDefault="00F66138"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1F228C">
      <w:pPr>
        <w:spacing w:after="0" w:line="480" w:lineRule="auto"/>
      </w:pPr>
    </w:p>
    <w:p w:rsidR="001F228C" w:rsidRPr="00F7055F" w:rsidRDefault="001F228C" w:rsidP="00F7055F">
      <w:pPr>
        <w:spacing w:after="0" w:line="480" w:lineRule="auto"/>
        <w:jc w:val="center"/>
        <w:rPr>
          <w:rFonts w:ascii="Times New Roman" w:hAnsi="Times New Roman" w:cs="Times New Roman"/>
          <w:b/>
          <w:sz w:val="24"/>
        </w:rPr>
      </w:pPr>
      <w:r w:rsidRPr="00F7055F">
        <w:rPr>
          <w:rFonts w:ascii="Times New Roman" w:hAnsi="Times New Roman" w:cs="Times New Roman"/>
          <w:b/>
          <w:sz w:val="24"/>
        </w:rPr>
        <w:lastRenderedPageBreak/>
        <w:t>Contributing to Theory</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In this modern world, the tremendous growth in technology has led to significant shift or changes in colleges and universities student’s demographics. It has been established that nearly over 40 percent of these students are past the age of 25 years with a good proportion of them being much mature in learning. In addition, the majority of them are considering going for e-learning so as to attain their higher education as well as their professional growth (Gunawardena, et al, 2013</w:t>
      </w:r>
      <w:r w:rsidRPr="00F7055F">
        <w:rPr>
          <w:rFonts w:ascii="Times New Roman" w:hAnsi="Times New Roman" w:cs="Times New Roman"/>
          <w:sz w:val="24"/>
        </w:rPr>
        <w:t xml:space="preserve">). </w:t>
      </w:r>
      <w:r w:rsidRPr="00F7055F">
        <w:rPr>
          <w:rFonts w:ascii="Times New Roman" w:hAnsi="Times New Roman" w:cs="Times New Roman"/>
          <w:sz w:val="24"/>
        </w:rPr>
        <w:t>This student who are greatly different from the traditional students also differ in that they as well as learn differently as opposed to their traditional counterparts together with their younger adults formally go for classes in their colleges and universities just after their secondary education (Kenner &amp; Weinerman, 2011).</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However, for a long time, the variation between these two types of students have not being given attention both in the higher educa</w:t>
      </w:r>
      <w:bookmarkStart w:id="1" w:name="_GoBack"/>
      <w:bookmarkEnd w:id="1"/>
      <w:r w:rsidRPr="00F7055F">
        <w:rPr>
          <w:rFonts w:ascii="Times New Roman" w:hAnsi="Times New Roman" w:cs="Times New Roman"/>
          <w:sz w:val="24"/>
        </w:rPr>
        <w:t>tion sector as well as in online programs in which the both the curriculum and learning methodologies face both the modern and the traditional learner. The following articles explain professional growth or development and electronic learning. To accomplish this study, the articles will be analyzed for their online learning contributions via operationalized independent, dependent, moderating, as well as mediating variables.</w:t>
      </w:r>
    </w:p>
    <w:p w:rsidR="001F228C" w:rsidRPr="00F7055F" w:rsidRDefault="001F228C" w:rsidP="001F228C">
      <w:pPr>
        <w:spacing w:after="0" w:line="480" w:lineRule="auto"/>
        <w:rPr>
          <w:rFonts w:ascii="Times New Roman" w:hAnsi="Times New Roman" w:cs="Times New Roman"/>
          <w:b/>
          <w:sz w:val="24"/>
        </w:rPr>
      </w:pPr>
      <w:r w:rsidRPr="00F7055F">
        <w:rPr>
          <w:rFonts w:ascii="Times New Roman" w:hAnsi="Times New Roman" w:cs="Times New Roman"/>
          <w:b/>
          <w:sz w:val="24"/>
        </w:rPr>
        <w:t>Article Analysis</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In their article the Predictors of Learner, Gunawardena et al. (2013) and through the use of a mixed-methods design, a research was done that made use of the face-to-face, questionnaires as well as the telephone interviews with their aim of collecting data with regard to the different perceptions of the instructors, students, as well as instructional designers with the objective of establish whether the online learning is the strongest predictor of learner satisfaction, whether the </w:t>
      </w:r>
      <w:r w:rsidRPr="00F7055F">
        <w:rPr>
          <w:rFonts w:ascii="Times New Roman" w:hAnsi="Times New Roman" w:cs="Times New Roman"/>
          <w:sz w:val="24"/>
        </w:rPr>
        <w:lastRenderedPageBreak/>
        <w:t xml:space="preserve">institutional support was the strongest predictor of transfer of learning within the professional growth and development program.  </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Gunawardena and his team that constituted of four other participants including LaPointe, Rao, Linder, and VanBerschot. Together they made use of four independent variables which were made used to measure the objective of the study which included the course design, online self-efficacy, student interaction with other learners as well as the instructor interaction (Gunawardena et al., 2013). On the other hand, in this research, the dependent variable was the online learning success.</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In addition, the learner satisfaction and the transfer of learning were the mediating variables. The research constituted of operationalizing all variables as scores on the </w:t>
      </w:r>
      <w:r w:rsidRPr="00F7055F">
        <w:rPr>
          <w:rFonts w:ascii="Times New Roman" w:hAnsi="Times New Roman" w:cs="Times New Roman"/>
          <w:sz w:val="24"/>
        </w:rPr>
        <w:t>q</w:t>
      </w:r>
      <w:r w:rsidRPr="00F7055F">
        <w:rPr>
          <w:rFonts w:ascii="Times New Roman" w:hAnsi="Times New Roman" w:cs="Times New Roman"/>
          <w:sz w:val="24"/>
        </w:rPr>
        <w:t xml:space="preserve">uestionnaire by the research team and were initially validated before the study. Furthermore, the study made use of the regression analysis to establish the relationship between both the independent variables as well as the dependent variable and attain an over 85% of the total variability based on the four independent variables. </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The second article is the Practice of Adult Education between the new and modern students. The article which was authored by </w:t>
      </w:r>
      <w:r w:rsidRPr="00F7055F">
        <w:rPr>
          <w:rFonts w:ascii="Times New Roman" w:hAnsi="Times New Roman" w:cs="Times New Roman"/>
          <w:sz w:val="24"/>
          <w:u w:val="single"/>
        </w:rPr>
        <w:t>Donavant (2015),</w:t>
      </w:r>
      <w:r w:rsidRPr="00F7055F">
        <w:rPr>
          <w:rFonts w:ascii="Times New Roman" w:hAnsi="Times New Roman" w:cs="Times New Roman"/>
          <w:sz w:val="24"/>
        </w:rPr>
        <w:t xml:space="preserve"> made use of the three </w:t>
      </w:r>
      <w:r w:rsidRPr="00F7055F">
        <w:rPr>
          <w:rFonts w:ascii="Times New Roman" w:hAnsi="Times New Roman" w:cs="Times New Roman"/>
          <w:sz w:val="24"/>
        </w:rPr>
        <w:t xml:space="preserve">phase, quasi-experimental quantitative study. In his article, </w:t>
      </w:r>
      <w:r w:rsidRPr="00F7055F">
        <w:rPr>
          <w:rFonts w:ascii="Times New Roman" w:hAnsi="Times New Roman" w:cs="Times New Roman"/>
          <w:noProof/>
          <w:sz w:val="24"/>
        </w:rPr>
        <w:t>Donovant</w:t>
      </w:r>
      <w:r w:rsidRPr="00F7055F">
        <w:rPr>
          <w:rFonts w:ascii="Times New Roman" w:hAnsi="Times New Roman" w:cs="Times New Roman"/>
          <w:sz w:val="24"/>
        </w:rPr>
        <w:t xml:space="preserve"> researched on the online education efficacy for professional development whereby he established that learning happened with regard to both traditional and online instruction. In addition, </w:t>
      </w:r>
      <w:r w:rsidRPr="00F7055F">
        <w:rPr>
          <w:rFonts w:ascii="Times New Roman" w:hAnsi="Times New Roman" w:cs="Times New Roman"/>
          <w:noProof/>
          <w:sz w:val="24"/>
        </w:rPr>
        <w:t>Donavant</w:t>
      </w:r>
      <w:r w:rsidRPr="00F7055F">
        <w:rPr>
          <w:rFonts w:ascii="Times New Roman" w:hAnsi="Times New Roman" w:cs="Times New Roman"/>
          <w:sz w:val="24"/>
        </w:rPr>
        <w:t xml:space="preserve"> noted that there was no substantial statistically variation between the effectiveness of both the learning delivery approaches.  Furthermore, </w:t>
      </w:r>
      <w:r w:rsidRPr="00F7055F">
        <w:rPr>
          <w:rFonts w:ascii="Times New Roman" w:hAnsi="Times New Roman" w:cs="Times New Roman"/>
          <w:noProof/>
          <w:sz w:val="24"/>
        </w:rPr>
        <w:t>Donavant</w:t>
      </w:r>
      <w:r w:rsidRPr="00F7055F">
        <w:rPr>
          <w:rFonts w:ascii="Times New Roman" w:hAnsi="Times New Roman" w:cs="Times New Roman"/>
          <w:sz w:val="24"/>
        </w:rPr>
        <w:t xml:space="preserve"> research also established that there was no significant variation between the two learning delivery methods based on student’s race, age, gender, instructor’s number of years of experience, as well as past exposure to online education. </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lastRenderedPageBreak/>
        <w:t>However, the research never portrayed a significant link between the traditional as well as the online learning in relation to student’s potential success. Donavant’s (2015) research initial part comprised of performance historical data across a number of courses with no descriptive information.  While the third part constituted of questionnaires that were filled out by 150 participants, who in their response indicated factor that promote online learning as opposed to traditional learning which was remote access, flexibility, self-driven or paced learning, as well as the general convenience. In addition, the researcher established that student preferred working in absence of interaction with the learning instructors. On the other hand, the researchers noted a challenge in which limited research has been established within the professional development environment in line with adult learning.  Donavant (2015), established both the traditional and online learning method as the independent variables. On the other hand, the effect on learning was the dependent variable.</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T</w:t>
      </w:r>
      <w:r w:rsidRPr="00F7055F">
        <w:rPr>
          <w:rFonts w:ascii="Times New Roman" w:hAnsi="Times New Roman" w:cs="Times New Roman"/>
          <w:sz w:val="24"/>
        </w:rPr>
        <w:t>he third article by Huang, Lin, and Huang (2012), the author sought to identify the types of learning style which can result in online participation. The researchers tried to research on the mediating process before the knowledge within the relationship between the type of learning as well</w:t>
      </w:r>
      <w:r w:rsidRPr="00F7055F">
        <w:rPr>
          <w:rFonts w:ascii="Times New Roman" w:hAnsi="Times New Roman" w:cs="Times New Roman"/>
          <w:sz w:val="24"/>
        </w:rPr>
        <w:t xml:space="preserve"> as the e-learning performance.</w:t>
      </w:r>
      <w:r w:rsidRPr="00F7055F">
        <w:rPr>
          <w:rFonts w:ascii="Times New Roman" w:hAnsi="Times New Roman" w:cs="Times New Roman"/>
          <w:sz w:val="24"/>
        </w:rPr>
        <w:t xml:space="preserve"> The study established that the learning style significantly associated with the success of online participation, in addition, the study established that online participation is as well positively associated with e-learning performance as well as the fact that a high prior exposure or significant knowledge results to a stronger relationship between online participation as well as learning performance. </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This research collected data from 219 college students from a single course and proceeded to measure the styles used by the student in by the use of the Index of Learning Styles survey. In addition, the research also measured the students’ online participation by following </w:t>
      </w:r>
      <w:r w:rsidRPr="00F7055F">
        <w:rPr>
          <w:rFonts w:ascii="Times New Roman" w:hAnsi="Times New Roman" w:cs="Times New Roman"/>
          <w:sz w:val="24"/>
        </w:rPr>
        <w:lastRenderedPageBreak/>
        <w:t>the recorded student online trails, across the board the research measures the students’ performance through the use of recorded scores on tests. Furthermore, the prior knowledge is measured using the 5-point Likert scale. Additionally, research used to control variables of computer experience, g</w:t>
      </w:r>
      <w:r w:rsidRPr="00F7055F">
        <w:rPr>
          <w:rFonts w:ascii="Times New Roman" w:hAnsi="Times New Roman" w:cs="Times New Roman"/>
          <w:sz w:val="24"/>
        </w:rPr>
        <w:t xml:space="preserve">ender and Internet experience. </w:t>
      </w:r>
      <w:r w:rsidRPr="00F7055F">
        <w:rPr>
          <w:rFonts w:ascii="Times New Roman" w:hAnsi="Times New Roman" w:cs="Times New Roman"/>
          <w:sz w:val="24"/>
        </w:rPr>
        <w:t>The research identified that online participation as the mediating variable between learning style and performance. In addition, the prior knowledge was identified as the moderate variable between participation as well as learning performance. The article recommended that educational institutions should commit to boosting students’ online participation over the e-learning courses.</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The fourth article is the length and satisfaction of student by online course by Ferguson &amp; DeFelice (2012). This article researched and presented the factors affecting satisfaction of the courses taught online and concluded that the connectedness to the course through participating interactively with other students as well as with the instructor has a high probability of influencing the student satisfaction. The authors made use of the equivalency theory that holds that despite the mode of learning delivery, all experiences in course learning ought to be designed so as to offer equivalent learning, thus a failure to meet this condition could result in variation with regard to online student perceived learning, satisfaction as well as the performance.</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The study made use of data collected from 114 participants. The independent variable was the length of the course holding all other factors constant while dependent variable was learning, was measured by the use of grades from a total of 114 students. All the data used were collected using questionnaires comprising of 15 questions. The data was analyzed using descriptive methods as well as t-tests. The article established that students were greatly satisfied </w:t>
      </w:r>
      <w:r w:rsidRPr="00F7055F">
        <w:rPr>
          <w:rFonts w:ascii="Times New Roman" w:hAnsi="Times New Roman" w:cs="Times New Roman"/>
          <w:sz w:val="24"/>
        </w:rPr>
        <w:lastRenderedPageBreak/>
        <w:t>with their interaction with their instructors in the in the longer format as well as their interaction with other students</w:t>
      </w:r>
      <w:r w:rsidRPr="00F7055F">
        <w:rPr>
          <w:rFonts w:ascii="Times New Roman" w:hAnsi="Times New Roman" w:cs="Times New Roman"/>
          <w:sz w:val="24"/>
        </w:rPr>
        <w:t>.</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The fifth article by Jackson, Jones &amp; Rodriguez (2012), constituted of a study by faculty Actions which can result to Student Satisfaction in Online Course. The study made use of the descriptive research methodology. The study made use of the data that was acquired from student responses</w:t>
      </w:r>
      <w:r w:rsidRPr="00F7055F">
        <w:rPr>
          <w:rFonts w:ascii="Times New Roman" w:hAnsi="Times New Roman" w:cs="Times New Roman"/>
          <w:sz w:val="24"/>
        </w:rPr>
        <w:t xml:space="preserve"> to online course evaluations. </w:t>
      </w:r>
      <w:r w:rsidRPr="00F7055F">
        <w:rPr>
          <w:rFonts w:ascii="Times New Roman" w:hAnsi="Times New Roman" w:cs="Times New Roman"/>
          <w:sz w:val="24"/>
        </w:rPr>
        <w:t xml:space="preserve">The participants in this study were 1004 students from two colleges. Descriptive statistics, multiple regressions, and bivariate correlations were used to recognize the faculty practices which contributed to student satisfaction in online courses. For instance, the multiple regression analysis established that approximately 69% of the students’ satisfaction variance could be explained by the independent variables.  </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 xml:space="preserve">The independent variables constituted of timeliness, directions, expectations, classrooms climate, enthusiasm, campus climate as well as activities that were measured using a 5-point Likert scale while the dependent variable </w:t>
      </w:r>
      <w:r w:rsidRPr="00F7055F">
        <w:rPr>
          <w:rFonts w:ascii="Times New Roman" w:hAnsi="Times New Roman" w:cs="Times New Roman"/>
          <w:noProof/>
          <w:sz w:val="24"/>
        </w:rPr>
        <w:t>values</w:t>
      </w:r>
      <w:r w:rsidRPr="00F7055F">
        <w:rPr>
          <w:rFonts w:ascii="Times New Roman" w:hAnsi="Times New Roman" w:cs="Times New Roman"/>
          <w:sz w:val="24"/>
        </w:rPr>
        <w:t xml:space="preserve"> and was measured using a 5-point Likert scale. According to the article, the instructor actions directly influenced the satisfaction of the student’s.</w:t>
      </w:r>
    </w:p>
    <w:p w:rsidR="001F228C" w:rsidRPr="00F7055F" w:rsidRDefault="001F228C" w:rsidP="001F228C">
      <w:pPr>
        <w:spacing w:after="0" w:line="480" w:lineRule="auto"/>
        <w:rPr>
          <w:rFonts w:ascii="Times New Roman" w:hAnsi="Times New Roman" w:cs="Times New Roman"/>
          <w:b/>
          <w:sz w:val="24"/>
        </w:rPr>
      </w:pPr>
      <w:r w:rsidRPr="00F7055F">
        <w:rPr>
          <w:rFonts w:ascii="Times New Roman" w:hAnsi="Times New Roman" w:cs="Times New Roman"/>
          <w:b/>
          <w:sz w:val="24"/>
        </w:rPr>
        <w:t>Gap Analysis</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All the articles reveal that the greatest factor of dissatisfaction across all the adult online learning is the absence interaction face-to-face of the students with the instructors (Donavant, 2015). This has been described as the main cause of a large number of online dropout rates. In addition, online participation has been described to be wanting and there is considerably less learning. On the other hand, all the article reveals that there is limited empirical research concerning with online adults learning as well as the lack of the appropriate methodologies for facilitating online learning.</w:t>
      </w:r>
    </w:p>
    <w:p w:rsidR="001F228C" w:rsidRPr="00F7055F" w:rsidRDefault="001F228C" w:rsidP="001F228C">
      <w:pPr>
        <w:spacing w:after="0" w:line="480" w:lineRule="auto"/>
        <w:rPr>
          <w:rFonts w:ascii="Times New Roman" w:hAnsi="Times New Roman" w:cs="Times New Roman"/>
          <w:b/>
          <w:sz w:val="24"/>
        </w:rPr>
      </w:pPr>
      <w:r w:rsidRPr="00F7055F">
        <w:rPr>
          <w:rFonts w:ascii="Times New Roman" w:hAnsi="Times New Roman" w:cs="Times New Roman"/>
          <w:b/>
          <w:sz w:val="24"/>
        </w:rPr>
        <w:lastRenderedPageBreak/>
        <w:t>Proposed Study</w:t>
      </w:r>
    </w:p>
    <w:p w:rsidR="001F228C" w:rsidRPr="00F7055F" w:rsidRDefault="001F228C" w:rsidP="001F228C">
      <w:pPr>
        <w:spacing w:after="0" w:line="480" w:lineRule="auto"/>
        <w:ind w:firstLine="720"/>
        <w:rPr>
          <w:rFonts w:ascii="Times New Roman" w:hAnsi="Times New Roman" w:cs="Times New Roman"/>
          <w:sz w:val="24"/>
        </w:rPr>
      </w:pPr>
      <w:r w:rsidRPr="00F7055F">
        <w:rPr>
          <w:rFonts w:ascii="Times New Roman" w:hAnsi="Times New Roman" w:cs="Times New Roman"/>
          <w:sz w:val="24"/>
        </w:rPr>
        <w:t>Based on the above discussion, I suggest that quasi-experimental non-equivalent groups study with the aim of establishing whether the inclusion of visual factor in online learning would promote increased online learning success and at the same time minimize or eliminate the high rate of dropout cases among online students. This because it will result in increased online learner participation, satisfaction and facilitate online adult professional development.</w:t>
      </w:r>
    </w:p>
    <w:p w:rsidR="001F228C" w:rsidRPr="00F7055F" w:rsidRDefault="001F228C" w:rsidP="001F228C">
      <w:pPr>
        <w:rPr>
          <w:rFonts w:ascii="Times New Roman" w:hAnsi="Times New Roman" w:cs="Times New Roman"/>
          <w:sz w:val="24"/>
        </w:rPr>
      </w:pPr>
      <w:r w:rsidRPr="00F7055F">
        <w:rPr>
          <w:rFonts w:ascii="Times New Roman" w:hAnsi="Times New Roman" w:cs="Times New Roman"/>
          <w:sz w:val="24"/>
        </w:rPr>
        <w:br w:type="page"/>
      </w:r>
    </w:p>
    <w:p w:rsidR="001F228C" w:rsidRPr="00F7055F" w:rsidRDefault="001F228C" w:rsidP="001F228C">
      <w:pPr>
        <w:spacing w:line="480" w:lineRule="auto"/>
        <w:rPr>
          <w:rFonts w:ascii="Times New Roman" w:hAnsi="Times New Roman" w:cs="Times New Roman"/>
          <w:sz w:val="24"/>
        </w:rPr>
      </w:pPr>
      <w:r w:rsidRPr="00F7055F">
        <w:rPr>
          <w:rFonts w:ascii="Times New Roman" w:hAnsi="Times New Roman" w:cs="Times New Roman"/>
          <w:sz w:val="24"/>
        </w:rPr>
        <w:lastRenderedPageBreak/>
        <w:t>References</w:t>
      </w:r>
    </w:p>
    <w:p w:rsidR="001F228C" w:rsidRPr="00F7055F" w:rsidRDefault="001F228C" w:rsidP="001F228C">
      <w:pPr>
        <w:spacing w:after="0" w:line="240" w:lineRule="auto"/>
        <w:rPr>
          <w:rFonts w:ascii="Times New Roman" w:hAnsi="Times New Roman" w:cs="Times New Roman"/>
          <w:sz w:val="24"/>
        </w:rPr>
      </w:pPr>
      <w:r w:rsidRPr="00F7055F">
        <w:rPr>
          <w:rFonts w:ascii="Times New Roman" w:hAnsi="Times New Roman" w:cs="Times New Roman"/>
          <w:sz w:val="24"/>
        </w:rPr>
        <w:t xml:space="preserve">Donavant, B. W. (2015). The new, modern practice of adult education: Online instruction in a </w:t>
      </w:r>
    </w:p>
    <w:p w:rsidR="001F228C" w:rsidRPr="00F7055F" w:rsidRDefault="001F228C" w:rsidP="001F228C">
      <w:pPr>
        <w:spacing w:after="0" w:line="240" w:lineRule="auto"/>
        <w:ind w:left="600"/>
        <w:rPr>
          <w:rFonts w:ascii="Times New Roman" w:hAnsi="Times New Roman" w:cs="Times New Roman"/>
          <w:sz w:val="24"/>
        </w:rPr>
      </w:pPr>
      <w:r w:rsidRPr="00F7055F">
        <w:rPr>
          <w:rFonts w:ascii="Times New Roman" w:hAnsi="Times New Roman" w:cs="Times New Roman"/>
          <w:sz w:val="24"/>
        </w:rPr>
        <w:t>continuing professional education setting. Adult Education Quarterly, 59(3), 227</w:t>
      </w:r>
      <w:r w:rsidRPr="00F7055F">
        <w:rPr>
          <w:rFonts w:ascii="Cambria Math" w:hAnsi="Cambria Math" w:cs="Cambria Math"/>
          <w:sz w:val="24"/>
        </w:rPr>
        <w:t>‐</w:t>
      </w:r>
      <w:r w:rsidRPr="00F7055F">
        <w:rPr>
          <w:rFonts w:ascii="Times New Roman" w:hAnsi="Times New Roman" w:cs="Times New Roman"/>
          <w:sz w:val="24"/>
        </w:rPr>
        <w:t xml:space="preserve">245. </w:t>
      </w:r>
      <w:r w:rsidRPr="00F7055F">
        <w:rPr>
          <w:rFonts w:ascii="Times New Roman" w:hAnsi="Times New Roman" w:cs="Times New Roman"/>
          <w:sz w:val="24"/>
        </w:rPr>
        <w:t xml:space="preserve">   </w:t>
      </w:r>
      <w:r w:rsidRPr="00F7055F">
        <w:rPr>
          <w:rFonts w:ascii="Times New Roman" w:hAnsi="Times New Roman" w:cs="Times New Roman"/>
          <w:sz w:val="24"/>
        </w:rPr>
        <w:t>doi:10.1177/0741713609331546</w:t>
      </w:r>
    </w:p>
    <w:p w:rsidR="001F228C" w:rsidRPr="00F7055F" w:rsidRDefault="001F228C" w:rsidP="001F228C">
      <w:pPr>
        <w:spacing w:after="0" w:line="240" w:lineRule="auto"/>
        <w:ind w:left="600"/>
        <w:rPr>
          <w:rFonts w:ascii="Times New Roman" w:hAnsi="Times New Roman" w:cs="Times New Roman"/>
          <w:sz w:val="24"/>
        </w:rPr>
      </w:pPr>
    </w:p>
    <w:p w:rsidR="001F228C" w:rsidRPr="00F7055F" w:rsidRDefault="001F228C" w:rsidP="001F228C">
      <w:pPr>
        <w:spacing w:after="0" w:line="240" w:lineRule="auto"/>
        <w:rPr>
          <w:rFonts w:ascii="Times New Roman" w:hAnsi="Times New Roman" w:cs="Times New Roman"/>
          <w:sz w:val="24"/>
        </w:rPr>
      </w:pPr>
      <w:r w:rsidRPr="00F7055F">
        <w:rPr>
          <w:rFonts w:ascii="Times New Roman" w:hAnsi="Times New Roman" w:cs="Times New Roman"/>
          <w:sz w:val="24"/>
        </w:rPr>
        <w:t xml:space="preserve">Ferguson, J. M., &amp; DeFelice, A. E. (2012). </w:t>
      </w:r>
      <w:r w:rsidRPr="00F7055F">
        <w:rPr>
          <w:rFonts w:ascii="Times New Roman" w:hAnsi="Times New Roman" w:cs="Times New Roman"/>
          <w:noProof/>
          <w:sz w:val="24"/>
        </w:rPr>
        <w:t>Length</w:t>
      </w:r>
      <w:r w:rsidRPr="00F7055F">
        <w:rPr>
          <w:rFonts w:ascii="Times New Roman" w:hAnsi="Times New Roman" w:cs="Times New Roman"/>
          <w:sz w:val="24"/>
        </w:rPr>
        <w:t xml:space="preserve"> of online course and student satisfaction, </w:t>
      </w:r>
    </w:p>
    <w:p w:rsidR="001F228C" w:rsidRPr="00F7055F" w:rsidRDefault="001F228C" w:rsidP="001F228C">
      <w:pPr>
        <w:spacing w:after="0" w:line="240" w:lineRule="auto"/>
        <w:ind w:left="600"/>
        <w:rPr>
          <w:rFonts w:ascii="Times New Roman" w:hAnsi="Times New Roman" w:cs="Times New Roman"/>
          <w:noProof/>
          <w:sz w:val="24"/>
        </w:rPr>
      </w:pPr>
      <w:r w:rsidRPr="00F7055F">
        <w:rPr>
          <w:rFonts w:ascii="Times New Roman" w:hAnsi="Times New Roman" w:cs="Times New Roman"/>
          <w:sz w:val="24"/>
        </w:rPr>
        <w:t xml:space="preserve">perceived learning, and academic performance. International Review of Research in </w:t>
      </w:r>
      <w:r w:rsidRPr="00F7055F">
        <w:rPr>
          <w:rFonts w:ascii="Times New Roman" w:hAnsi="Times New Roman" w:cs="Times New Roman"/>
          <w:noProof/>
          <w:sz w:val="24"/>
        </w:rPr>
        <w:t>Open</w:t>
      </w:r>
      <w:r w:rsidRPr="00F7055F">
        <w:rPr>
          <w:rFonts w:ascii="Times New Roman" w:hAnsi="Times New Roman" w:cs="Times New Roman"/>
          <w:noProof/>
          <w:sz w:val="24"/>
        </w:rPr>
        <w:t>and</w:t>
      </w:r>
      <w:r w:rsidRPr="00F7055F">
        <w:rPr>
          <w:rFonts w:ascii="Times New Roman" w:hAnsi="Times New Roman" w:cs="Times New Roman"/>
          <w:sz w:val="24"/>
        </w:rPr>
        <w:t xml:space="preserve"> Distance Learning, 11(2), 73-84. Retrieved from </w:t>
      </w:r>
      <w:hyperlink r:id="rId7" w:history="1">
        <w:r w:rsidRPr="00F7055F">
          <w:rPr>
            <w:rStyle w:val="Hyperlink"/>
            <w:rFonts w:ascii="Times New Roman" w:hAnsi="Times New Roman" w:cs="Times New Roman"/>
            <w:color w:val="auto"/>
            <w:sz w:val="24"/>
            <w:u w:val="none"/>
          </w:rPr>
          <w:t>http://www.irrodl.org/</w:t>
        </w:r>
      </w:hyperlink>
      <w:r w:rsidRPr="00F7055F">
        <w:rPr>
          <w:rFonts w:ascii="Times New Roman" w:hAnsi="Times New Roman" w:cs="Times New Roman"/>
          <w:sz w:val="24"/>
        </w:rPr>
        <w:t>index.php/</w:t>
      </w:r>
      <w:r w:rsidRPr="00F7055F">
        <w:rPr>
          <w:rFonts w:ascii="Times New Roman" w:hAnsi="Times New Roman" w:cs="Times New Roman"/>
          <w:noProof/>
          <w:sz w:val="24"/>
        </w:rPr>
        <w:t>irrodl</w:t>
      </w:r>
    </w:p>
    <w:p w:rsidR="001F228C" w:rsidRPr="00F7055F" w:rsidRDefault="001F228C" w:rsidP="001F228C">
      <w:pPr>
        <w:spacing w:after="0" w:line="240" w:lineRule="auto"/>
        <w:rPr>
          <w:rFonts w:ascii="Times New Roman" w:hAnsi="Times New Roman" w:cs="Times New Roman"/>
          <w:sz w:val="24"/>
        </w:rPr>
      </w:pPr>
    </w:p>
    <w:p w:rsidR="001F228C" w:rsidRPr="00F7055F" w:rsidRDefault="001F228C" w:rsidP="001F228C">
      <w:pPr>
        <w:spacing w:after="0" w:line="240" w:lineRule="auto"/>
        <w:rPr>
          <w:rFonts w:ascii="Times New Roman" w:hAnsi="Times New Roman" w:cs="Times New Roman"/>
          <w:sz w:val="24"/>
        </w:rPr>
      </w:pPr>
      <w:r w:rsidRPr="00F7055F">
        <w:rPr>
          <w:rFonts w:ascii="Times New Roman" w:hAnsi="Times New Roman" w:cs="Times New Roman"/>
          <w:sz w:val="24"/>
        </w:rPr>
        <w:t xml:space="preserve">Gunawardena, C. N., Linder, VanBerschot, J. A., LaPointe, D. K., &amp; Rao, L. (2013). Predictors </w:t>
      </w:r>
    </w:p>
    <w:p w:rsidR="001F228C" w:rsidRPr="00F7055F" w:rsidRDefault="001F228C" w:rsidP="001F228C">
      <w:pPr>
        <w:spacing w:after="0" w:line="240" w:lineRule="auto"/>
        <w:ind w:left="600"/>
        <w:rPr>
          <w:rFonts w:ascii="Times New Roman" w:hAnsi="Times New Roman" w:cs="Times New Roman"/>
          <w:sz w:val="24"/>
        </w:rPr>
      </w:pPr>
      <w:r w:rsidRPr="00F7055F">
        <w:rPr>
          <w:rFonts w:ascii="Times New Roman" w:hAnsi="Times New Roman" w:cs="Times New Roman"/>
          <w:noProof/>
          <w:sz w:val="24"/>
        </w:rPr>
        <w:t>of learner</w:t>
      </w:r>
      <w:r w:rsidRPr="00F7055F">
        <w:rPr>
          <w:rFonts w:ascii="Times New Roman" w:hAnsi="Times New Roman" w:cs="Times New Roman"/>
          <w:sz w:val="24"/>
        </w:rPr>
        <w:t xml:space="preserve"> satisfaction and transfer of learning in a corporate online education program. The American Journal of Distance Education, 24(1), 207-226. doi:10.1080/08923647.2010.522919</w:t>
      </w:r>
    </w:p>
    <w:p w:rsidR="001F228C" w:rsidRPr="00F7055F" w:rsidRDefault="001F228C" w:rsidP="001F228C">
      <w:pPr>
        <w:spacing w:after="0" w:line="240" w:lineRule="auto"/>
        <w:ind w:left="600"/>
        <w:rPr>
          <w:rFonts w:ascii="Times New Roman" w:hAnsi="Times New Roman" w:cs="Times New Roman"/>
          <w:sz w:val="24"/>
        </w:rPr>
      </w:pPr>
    </w:p>
    <w:p w:rsidR="001F228C" w:rsidRPr="00F7055F" w:rsidRDefault="001F228C" w:rsidP="001F228C">
      <w:pPr>
        <w:spacing w:after="0" w:line="240" w:lineRule="auto"/>
        <w:rPr>
          <w:rFonts w:ascii="Times New Roman" w:hAnsi="Times New Roman" w:cs="Times New Roman"/>
          <w:noProof/>
          <w:sz w:val="24"/>
        </w:rPr>
      </w:pPr>
      <w:r w:rsidRPr="00F7055F">
        <w:rPr>
          <w:rFonts w:ascii="Times New Roman" w:hAnsi="Times New Roman" w:cs="Times New Roman"/>
          <w:sz w:val="24"/>
        </w:rPr>
        <w:t xml:space="preserve">Huang, E. Y., Lin, S. W., &amp; Huang, T. K. (2012). What type of learning style leads to </w:t>
      </w:r>
      <w:r w:rsidRPr="00F7055F">
        <w:rPr>
          <w:rFonts w:ascii="Times New Roman" w:hAnsi="Times New Roman" w:cs="Times New Roman"/>
          <w:noProof/>
          <w:sz w:val="24"/>
        </w:rPr>
        <w:t xml:space="preserve">online </w:t>
      </w:r>
    </w:p>
    <w:p w:rsidR="001F228C" w:rsidRPr="00F7055F" w:rsidRDefault="001F228C" w:rsidP="001F228C">
      <w:pPr>
        <w:spacing w:after="0" w:line="240" w:lineRule="auto"/>
        <w:ind w:left="600"/>
        <w:rPr>
          <w:rFonts w:ascii="Times New Roman" w:hAnsi="Times New Roman" w:cs="Times New Roman"/>
          <w:sz w:val="24"/>
        </w:rPr>
      </w:pPr>
      <w:r w:rsidRPr="00F7055F">
        <w:rPr>
          <w:rFonts w:ascii="Times New Roman" w:hAnsi="Times New Roman" w:cs="Times New Roman"/>
          <w:noProof/>
          <w:sz w:val="24"/>
        </w:rPr>
        <w:t>participation</w:t>
      </w:r>
      <w:r w:rsidRPr="00F7055F">
        <w:rPr>
          <w:rFonts w:ascii="Times New Roman" w:hAnsi="Times New Roman" w:cs="Times New Roman"/>
          <w:sz w:val="24"/>
        </w:rPr>
        <w:t xml:space="preserve"> in the mixed</w:t>
      </w:r>
      <w:r w:rsidRPr="00F7055F">
        <w:rPr>
          <w:rFonts w:ascii="Cambria Math" w:hAnsi="Cambria Math" w:cs="Cambria Math"/>
          <w:sz w:val="24"/>
        </w:rPr>
        <w:t>‐</w:t>
      </w:r>
      <w:r w:rsidRPr="00F7055F">
        <w:rPr>
          <w:rFonts w:ascii="Times New Roman" w:hAnsi="Times New Roman" w:cs="Times New Roman"/>
          <w:sz w:val="24"/>
        </w:rPr>
        <w:t>mode e</w:t>
      </w:r>
      <w:r w:rsidRPr="00F7055F">
        <w:rPr>
          <w:rFonts w:ascii="Cambria Math" w:hAnsi="Cambria Math" w:cs="Cambria Math"/>
          <w:sz w:val="24"/>
        </w:rPr>
        <w:t>‐</w:t>
      </w:r>
      <w:r w:rsidRPr="00F7055F">
        <w:rPr>
          <w:rFonts w:ascii="Times New Roman" w:hAnsi="Times New Roman" w:cs="Times New Roman"/>
          <w:sz w:val="24"/>
        </w:rPr>
        <w:t xml:space="preserve">learning environment? A study of software </w:t>
      </w:r>
      <w:r w:rsidRPr="00F7055F">
        <w:rPr>
          <w:rFonts w:ascii="Times New Roman" w:hAnsi="Times New Roman" w:cs="Times New Roman"/>
          <w:noProof/>
          <w:sz w:val="24"/>
        </w:rPr>
        <w:t>usage instruction</w:t>
      </w:r>
      <w:r w:rsidRPr="00F7055F">
        <w:rPr>
          <w:rFonts w:ascii="Times New Roman" w:hAnsi="Times New Roman" w:cs="Times New Roman"/>
          <w:sz w:val="24"/>
        </w:rPr>
        <w:t>. Computers &amp; Education, 58(1), 338</w:t>
      </w:r>
      <w:r w:rsidRPr="00F7055F">
        <w:rPr>
          <w:rFonts w:ascii="Cambria Math" w:hAnsi="Cambria Math" w:cs="Cambria Math"/>
          <w:sz w:val="24"/>
        </w:rPr>
        <w:t>‐</w:t>
      </w:r>
      <w:r w:rsidRPr="00F7055F">
        <w:rPr>
          <w:rFonts w:ascii="Times New Roman" w:hAnsi="Times New Roman" w:cs="Times New Roman"/>
          <w:sz w:val="24"/>
        </w:rPr>
        <w:t>349. doi:10.1016/j.compedu.2011.08.003</w:t>
      </w:r>
    </w:p>
    <w:p w:rsidR="001F228C" w:rsidRPr="00F7055F" w:rsidRDefault="001F228C" w:rsidP="001F228C">
      <w:pPr>
        <w:spacing w:after="0" w:line="240" w:lineRule="auto"/>
        <w:ind w:left="600"/>
        <w:rPr>
          <w:rFonts w:ascii="Times New Roman" w:hAnsi="Times New Roman" w:cs="Times New Roman"/>
          <w:sz w:val="24"/>
        </w:rPr>
      </w:pPr>
    </w:p>
    <w:p w:rsidR="001F228C" w:rsidRPr="00F7055F" w:rsidRDefault="001F228C" w:rsidP="001F228C">
      <w:pPr>
        <w:spacing w:after="0" w:line="240" w:lineRule="auto"/>
        <w:rPr>
          <w:rFonts w:ascii="Times New Roman" w:hAnsi="Times New Roman" w:cs="Times New Roman"/>
          <w:noProof/>
          <w:sz w:val="24"/>
        </w:rPr>
      </w:pPr>
      <w:r w:rsidRPr="00F7055F">
        <w:rPr>
          <w:rFonts w:ascii="Times New Roman" w:hAnsi="Times New Roman" w:cs="Times New Roman"/>
          <w:sz w:val="24"/>
        </w:rPr>
        <w:t xml:space="preserve">Jackson, L. C., Jones, S. J., &amp; Rodriguez, R. C. (2010). Faculty actions that result in </w:t>
      </w:r>
      <w:r w:rsidRPr="00F7055F">
        <w:rPr>
          <w:rFonts w:ascii="Times New Roman" w:hAnsi="Times New Roman" w:cs="Times New Roman"/>
          <w:noProof/>
          <w:sz w:val="24"/>
        </w:rPr>
        <w:t>student</w:t>
      </w:r>
      <w:r w:rsidRPr="00F7055F">
        <w:rPr>
          <w:rFonts w:ascii="Times New Roman" w:hAnsi="Times New Roman" w:cs="Times New Roman"/>
          <w:noProof/>
          <w:sz w:val="24"/>
        </w:rPr>
        <w:t xml:space="preserve">  </w:t>
      </w:r>
    </w:p>
    <w:p w:rsidR="001F228C" w:rsidRPr="00F7055F" w:rsidRDefault="001F228C" w:rsidP="001F228C">
      <w:pPr>
        <w:spacing w:after="0" w:line="240" w:lineRule="auto"/>
        <w:ind w:left="540"/>
        <w:rPr>
          <w:rFonts w:ascii="Times New Roman" w:hAnsi="Times New Roman" w:cs="Times New Roman"/>
          <w:sz w:val="24"/>
        </w:rPr>
      </w:pPr>
      <w:r w:rsidRPr="00F7055F">
        <w:rPr>
          <w:rFonts w:ascii="Times New Roman" w:hAnsi="Times New Roman" w:cs="Times New Roman"/>
          <w:noProof/>
          <w:sz w:val="24"/>
        </w:rPr>
        <w:t>satisfaction</w:t>
      </w:r>
      <w:r w:rsidRPr="00F7055F">
        <w:rPr>
          <w:rFonts w:ascii="Times New Roman" w:hAnsi="Times New Roman" w:cs="Times New Roman"/>
          <w:sz w:val="24"/>
        </w:rPr>
        <w:t xml:space="preserve"> in online courses. Journal of Asynchronous Learning Networks, 14(4), 78-96. Retrieved from http://jaln.sloanconsortium.org/index.php/jaln</w:t>
      </w:r>
    </w:p>
    <w:p w:rsidR="001F228C" w:rsidRPr="00F7055F" w:rsidRDefault="001F228C" w:rsidP="001F228C">
      <w:pPr>
        <w:spacing w:after="0" w:line="240" w:lineRule="auto"/>
        <w:ind w:left="540"/>
        <w:rPr>
          <w:rFonts w:ascii="Times New Roman" w:hAnsi="Times New Roman" w:cs="Times New Roman"/>
          <w:sz w:val="24"/>
        </w:rPr>
      </w:pPr>
    </w:p>
    <w:p w:rsidR="001F228C" w:rsidRPr="00F7055F" w:rsidRDefault="001F228C" w:rsidP="001F228C">
      <w:pPr>
        <w:spacing w:after="0" w:line="240" w:lineRule="auto"/>
        <w:rPr>
          <w:rFonts w:ascii="Times New Roman" w:hAnsi="Times New Roman" w:cs="Times New Roman"/>
          <w:sz w:val="24"/>
        </w:rPr>
      </w:pPr>
      <w:r w:rsidRPr="00F7055F">
        <w:rPr>
          <w:rFonts w:ascii="Times New Roman" w:hAnsi="Times New Roman" w:cs="Times New Roman"/>
          <w:sz w:val="24"/>
        </w:rPr>
        <w:t xml:space="preserve">Kenner, C., &amp; Weinerman, J. (2011). Adult learning theory: Applications to nontraditional </w:t>
      </w:r>
    </w:p>
    <w:p w:rsidR="001F228C" w:rsidRDefault="001F228C" w:rsidP="001F228C">
      <w:pPr>
        <w:spacing w:after="0" w:line="240" w:lineRule="auto"/>
        <w:ind w:left="540"/>
      </w:pPr>
      <w:r w:rsidRPr="00F7055F">
        <w:rPr>
          <w:rFonts w:ascii="Times New Roman" w:hAnsi="Times New Roman" w:cs="Times New Roman"/>
          <w:noProof/>
          <w:sz w:val="24"/>
        </w:rPr>
        <w:t>college students</w:t>
      </w:r>
      <w:r w:rsidRPr="00F7055F">
        <w:rPr>
          <w:rFonts w:ascii="Times New Roman" w:hAnsi="Times New Roman" w:cs="Times New Roman"/>
          <w:sz w:val="24"/>
        </w:rPr>
        <w:t xml:space="preserve">. Journal of College Reading and Learning, 41(2), 87-96. Retrieved from </w:t>
      </w:r>
      <w:r w:rsidRPr="00F7055F">
        <w:rPr>
          <w:rFonts w:ascii="Times New Roman" w:hAnsi="Times New Roman" w:cs="Times New Roman"/>
          <w:sz w:val="24"/>
        </w:rPr>
        <w:t xml:space="preserve"> </w:t>
      </w:r>
      <w:r w:rsidRPr="00F7055F">
        <w:rPr>
          <w:rFonts w:ascii="Times New Roman" w:hAnsi="Times New Roman" w:cs="Times New Roman"/>
          <w:sz w:val="24"/>
        </w:rPr>
        <w:t>http://www.crla.net/journal.htm</w:t>
      </w:r>
    </w:p>
    <w:p w:rsidR="001F228C" w:rsidRDefault="001F228C" w:rsidP="001F228C"/>
    <w:sectPr w:rsidR="001F22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EB" w:rsidRDefault="00ED53EB" w:rsidP="001F228C">
      <w:pPr>
        <w:spacing w:after="0" w:line="240" w:lineRule="auto"/>
      </w:pPr>
      <w:r>
        <w:separator/>
      </w:r>
    </w:p>
  </w:endnote>
  <w:endnote w:type="continuationSeparator" w:id="0">
    <w:p w:rsidR="00ED53EB" w:rsidRDefault="00ED53EB" w:rsidP="001F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EB" w:rsidRDefault="00ED53EB" w:rsidP="001F228C">
      <w:pPr>
        <w:spacing w:after="0" w:line="240" w:lineRule="auto"/>
      </w:pPr>
      <w:r>
        <w:separator/>
      </w:r>
    </w:p>
  </w:footnote>
  <w:footnote w:type="continuationSeparator" w:id="0">
    <w:p w:rsidR="00ED53EB" w:rsidRDefault="00ED53EB" w:rsidP="001F2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27454"/>
      <w:docPartObj>
        <w:docPartGallery w:val="Page Numbers (Top of Page)"/>
        <w:docPartUnique/>
      </w:docPartObj>
    </w:sdtPr>
    <w:sdtEndPr>
      <w:rPr>
        <w:noProof/>
      </w:rPr>
    </w:sdtEndPr>
    <w:sdtContent>
      <w:p w:rsidR="001F228C" w:rsidRDefault="001F228C">
        <w:pPr>
          <w:pStyle w:val="Header"/>
          <w:jc w:val="right"/>
        </w:pPr>
        <w:r>
          <w:t xml:space="preserve">CarbaughCBTM7016-6                                                                                                                                                 </w:t>
        </w:r>
        <w:r>
          <w:fldChar w:fldCharType="begin"/>
        </w:r>
        <w:r>
          <w:instrText xml:space="preserve"> PAGE   \* MERGEFORMAT </w:instrText>
        </w:r>
        <w:r>
          <w:fldChar w:fldCharType="separate"/>
        </w:r>
        <w:r w:rsidR="00F7055F">
          <w:rPr>
            <w:noProof/>
          </w:rPr>
          <w:t>1</w:t>
        </w:r>
        <w:r>
          <w:rPr>
            <w:noProof/>
          </w:rPr>
          <w:fldChar w:fldCharType="end"/>
        </w:r>
      </w:p>
    </w:sdtContent>
  </w:sdt>
  <w:p w:rsidR="001F228C" w:rsidRDefault="001F2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LA0tjAxNjAzNDNR0lEKTi0uzszPAykwrAUAK7RPpiwAAAA="/>
  </w:docVars>
  <w:rsids>
    <w:rsidRoot w:val="001F228C"/>
    <w:rsid w:val="001F228C"/>
    <w:rsid w:val="00ED53EB"/>
    <w:rsid w:val="00F66138"/>
    <w:rsid w:val="00F7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F1C9"/>
  <w15:chartTrackingRefBased/>
  <w15:docId w15:val="{0510BDD2-472B-49CE-9465-6D729537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2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28C"/>
    <w:rPr>
      <w:rFonts w:ascii="Times New Roman" w:hAnsi="Times New Roman" w:cs="Times New Roman"/>
      <w:sz w:val="24"/>
      <w:szCs w:val="24"/>
    </w:rPr>
  </w:style>
  <w:style w:type="paragraph" w:styleId="Header">
    <w:name w:val="header"/>
    <w:basedOn w:val="Normal"/>
    <w:link w:val="HeaderChar"/>
    <w:uiPriority w:val="99"/>
    <w:unhideWhenUsed/>
    <w:rsid w:val="001F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28C"/>
  </w:style>
  <w:style w:type="paragraph" w:styleId="Footer">
    <w:name w:val="footer"/>
    <w:basedOn w:val="Normal"/>
    <w:link w:val="FooterChar"/>
    <w:uiPriority w:val="99"/>
    <w:unhideWhenUsed/>
    <w:rsid w:val="001F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28C"/>
  </w:style>
  <w:style w:type="character" w:styleId="Hyperlink">
    <w:name w:val="Hyperlink"/>
    <w:basedOn w:val="DefaultParagraphFont"/>
    <w:uiPriority w:val="99"/>
    <w:unhideWhenUsed/>
    <w:rsid w:val="001F228C"/>
    <w:rPr>
      <w:color w:val="0000FF" w:themeColor="hyperlink"/>
      <w:u w:val="single"/>
    </w:rPr>
  </w:style>
  <w:style w:type="character" w:styleId="Mention">
    <w:name w:val="Mention"/>
    <w:basedOn w:val="DefaultParagraphFont"/>
    <w:uiPriority w:val="99"/>
    <w:semiHidden/>
    <w:unhideWhenUsed/>
    <w:rsid w:val="001F228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rrod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2017-06-18T23:08:00Z</dcterms:created>
  <dcterms:modified xsi:type="dcterms:W3CDTF">2017-06-18T23:48:00Z</dcterms:modified>
</cp:coreProperties>
</file>